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038A7" w14:textId="77777777" w:rsidR="00D90369" w:rsidRDefault="00D90369" w:rsidP="00DC00AA">
      <w:pPr>
        <w:pStyle w:val="Nincstrkz"/>
        <w:rPr>
          <w:b/>
          <w:sz w:val="24"/>
          <w:szCs w:val="24"/>
        </w:rPr>
      </w:pPr>
    </w:p>
    <w:p w14:paraId="797A3F53" w14:textId="67C2145E" w:rsidR="006A2A93" w:rsidRPr="006A2A93" w:rsidRDefault="00145B42" w:rsidP="006A2A93">
      <w:pPr>
        <w:pStyle w:val="Nincstrkz"/>
        <w:jc w:val="center"/>
        <w:rPr>
          <w:b/>
          <w:sz w:val="24"/>
          <w:szCs w:val="24"/>
        </w:rPr>
      </w:pPr>
      <w:r w:rsidRPr="006A2A93">
        <w:rPr>
          <w:b/>
          <w:sz w:val="24"/>
          <w:szCs w:val="24"/>
        </w:rPr>
        <w:t>Beszámoló az ELTE BTK Külügyi é</w:t>
      </w:r>
      <w:r w:rsidR="00CB3EF0">
        <w:rPr>
          <w:b/>
          <w:sz w:val="24"/>
          <w:szCs w:val="24"/>
        </w:rPr>
        <w:t>s N</w:t>
      </w:r>
      <w:r w:rsidR="008A3E5A">
        <w:rPr>
          <w:b/>
          <w:sz w:val="24"/>
          <w:szCs w:val="24"/>
        </w:rPr>
        <w:t>emzetközi Képzési Bizottság 202</w:t>
      </w:r>
      <w:r w:rsidR="00444E9F">
        <w:rPr>
          <w:b/>
          <w:sz w:val="24"/>
          <w:szCs w:val="24"/>
        </w:rPr>
        <w:t>4</w:t>
      </w:r>
      <w:r w:rsidR="008A3E5A">
        <w:rPr>
          <w:b/>
          <w:sz w:val="24"/>
          <w:szCs w:val="24"/>
        </w:rPr>
        <w:t>-</w:t>
      </w:r>
      <w:r w:rsidR="00444E9F">
        <w:rPr>
          <w:b/>
          <w:sz w:val="24"/>
          <w:szCs w:val="24"/>
        </w:rPr>
        <w:t>e</w:t>
      </w:r>
      <w:r w:rsidR="00CB3EF0">
        <w:rPr>
          <w:b/>
          <w:sz w:val="24"/>
          <w:szCs w:val="24"/>
        </w:rPr>
        <w:t>s munkájáról</w:t>
      </w:r>
    </w:p>
    <w:p w14:paraId="61DC3947" w14:textId="77777777" w:rsidR="00145B42" w:rsidRPr="006A2A93" w:rsidRDefault="00000000" w:rsidP="00145B42">
      <w:pPr>
        <w:pStyle w:val="Nincstrkz"/>
        <w:rPr>
          <w:b/>
        </w:rPr>
      </w:pPr>
      <w:r>
        <w:rPr>
          <w:b/>
        </w:rPr>
        <w:pict w14:anchorId="7BE1F894">
          <v:rect id="_x0000_i1025" style="width:0;height:1.5pt" o:hralign="center" o:hrstd="t" o:hr="t" fillcolor="#a0a0a0" stroked="f"/>
        </w:pict>
      </w:r>
    </w:p>
    <w:p w14:paraId="588E48CF" w14:textId="77777777" w:rsidR="006A2A93" w:rsidRDefault="006A2A93" w:rsidP="00145B42">
      <w:pPr>
        <w:pStyle w:val="Nincstrkz"/>
      </w:pPr>
    </w:p>
    <w:p w14:paraId="658C1C3E" w14:textId="77777777" w:rsidR="00145B42" w:rsidRDefault="00145B42" w:rsidP="00145B42">
      <w:pPr>
        <w:pStyle w:val="Nincstrkz"/>
      </w:pPr>
      <w:r>
        <w:t>Elnök:</w:t>
      </w:r>
    </w:p>
    <w:p w14:paraId="4B2457B4" w14:textId="77777777" w:rsidR="00145B42" w:rsidRDefault="00145B42" w:rsidP="00145B42">
      <w:pPr>
        <w:pStyle w:val="Nincstrkz"/>
      </w:pPr>
      <w:r>
        <w:t xml:space="preserve">a nemzetközi ügyek </w:t>
      </w:r>
      <w:r w:rsidR="00CB3EF0">
        <w:t>dékánhelyettese: Dr. Réthelyi Orsolya</w:t>
      </w:r>
      <w:r w:rsidR="006A2A93">
        <w:t>, habilitált egyetemi docens</w:t>
      </w:r>
    </w:p>
    <w:p w14:paraId="4C4584C8" w14:textId="77777777" w:rsidR="002E3521" w:rsidRDefault="002E3521" w:rsidP="00145B42">
      <w:pPr>
        <w:pStyle w:val="Nincstrkz"/>
      </w:pPr>
    </w:p>
    <w:p w14:paraId="2203D82E" w14:textId="77777777" w:rsidR="00145B42" w:rsidRDefault="00145B42" w:rsidP="00145B42">
      <w:pPr>
        <w:pStyle w:val="Nincstrkz"/>
      </w:pPr>
      <w:r>
        <w:t>Tagok:</w:t>
      </w:r>
    </w:p>
    <w:p w14:paraId="0889294B" w14:textId="77777777" w:rsidR="00145B42" w:rsidRDefault="00145B42" w:rsidP="00145B42">
      <w:pPr>
        <w:pStyle w:val="Nincstrkz"/>
      </w:pPr>
      <w:r>
        <w:t xml:space="preserve">az oktatási és tanulmányi ügyek dékánhelyettese: Dr. Horváth Krisztina, </w:t>
      </w:r>
      <w:r w:rsidR="008A3E5A">
        <w:t xml:space="preserve">habilitált </w:t>
      </w:r>
      <w:r>
        <w:t>egyetemi docens</w:t>
      </w:r>
    </w:p>
    <w:p w14:paraId="1101C7CA" w14:textId="2D91084F" w:rsidR="00145B42" w:rsidRDefault="00145B42" w:rsidP="00145B42">
      <w:pPr>
        <w:pStyle w:val="Nincstrkz"/>
      </w:pPr>
      <w:r>
        <w:t xml:space="preserve">Dr. </w:t>
      </w:r>
      <w:r w:rsidR="00444E9F">
        <w:t>Polyák Gábor</w:t>
      </w:r>
      <w:r>
        <w:t xml:space="preserve">, egyetemi </w:t>
      </w:r>
      <w:r w:rsidR="00444E9F">
        <w:t>tanár</w:t>
      </w:r>
    </w:p>
    <w:p w14:paraId="7DED0076" w14:textId="41C61EC3" w:rsidR="00145B42" w:rsidRDefault="00145B42" w:rsidP="00145B42">
      <w:pPr>
        <w:pStyle w:val="Nincstrkz"/>
      </w:pPr>
      <w:r>
        <w:t xml:space="preserve">Dr. </w:t>
      </w:r>
      <w:r w:rsidR="00444E9F">
        <w:t>Tartsay Németh Nóra</w:t>
      </w:r>
      <w:r>
        <w:t xml:space="preserve">, </w:t>
      </w:r>
      <w:r w:rsidR="00444E9F">
        <w:t>egyetemi adjunktus</w:t>
      </w:r>
    </w:p>
    <w:p w14:paraId="569E618A" w14:textId="42F92CBF" w:rsidR="00444E9F" w:rsidRDefault="00444E9F" w:rsidP="00145B42">
      <w:pPr>
        <w:pStyle w:val="Nincstrkz"/>
      </w:pPr>
      <w:r>
        <w:t>Dr. Tarafás Imre, egyetemi tanársegéd</w:t>
      </w:r>
    </w:p>
    <w:p w14:paraId="0837AA81" w14:textId="77777777" w:rsidR="00145B42" w:rsidRDefault="006A2A93" w:rsidP="00145B42">
      <w:pPr>
        <w:pStyle w:val="Nincstrkz"/>
      </w:pPr>
      <w:r>
        <w:t>a Nemzetközi Kapcsolatok Irodája vezetője: Gaál Tekla, irodavezető</w:t>
      </w:r>
    </w:p>
    <w:p w14:paraId="5A94BF40" w14:textId="77777777" w:rsidR="002E3521" w:rsidRDefault="002E3521" w:rsidP="00145B42">
      <w:pPr>
        <w:pStyle w:val="Nincstrkz"/>
      </w:pPr>
    </w:p>
    <w:p w14:paraId="1779D06C" w14:textId="77777777" w:rsidR="00145B42" w:rsidRDefault="00145B42" w:rsidP="00145B42">
      <w:pPr>
        <w:pStyle w:val="Nincstrkz"/>
      </w:pPr>
      <w:r>
        <w:t>Hallgatói tagok:</w:t>
      </w:r>
    </w:p>
    <w:p w14:paraId="373D6E5D" w14:textId="5AFB3CF4" w:rsidR="00145B42" w:rsidRDefault="00444E9F" w:rsidP="00145B42">
      <w:pPr>
        <w:pStyle w:val="Nincstrkz"/>
      </w:pPr>
      <w:r>
        <w:t>Détári Bernadett</w:t>
      </w:r>
      <w:r w:rsidR="00145B42">
        <w:t xml:space="preserve"> (HÖK)</w:t>
      </w:r>
    </w:p>
    <w:p w14:paraId="4ABFC94A" w14:textId="445AD950" w:rsidR="00145B42" w:rsidRDefault="00444E9F" w:rsidP="00145B42">
      <w:pPr>
        <w:pStyle w:val="Nincstrkz"/>
      </w:pPr>
      <w:r w:rsidRPr="00444E9F">
        <w:t>Tóth Boglárka Fanni</w:t>
      </w:r>
      <w:r w:rsidR="00145B42">
        <w:t xml:space="preserve"> (DÖK)</w:t>
      </w:r>
    </w:p>
    <w:p w14:paraId="3A99FE1D" w14:textId="77777777" w:rsidR="00145B42" w:rsidRDefault="00145B42" w:rsidP="00145B42">
      <w:pPr>
        <w:pStyle w:val="Nincstrkz"/>
      </w:pPr>
    </w:p>
    <w:p w14:paraId="6805A6EC" w14:textId="3CBA9ACF" w:rsidR="00702E20" w:rsidRDefault="00CB3EF0" w:rsidP="00444E9F">
      <w:pPr>
        <w:pStyle w:val="Nincstrkz"/>
      </w:pPr>
      <w:r>
        <w:t xml:space="preserve">A </w:t>
      </w:r>
      <w:r w:rsidRPr="00CB3EF0">
        <w:t>Külügyi és Nemzetközi Képzési Bizottság</w:t>
      </w:r>
      <w:r w:rsidR="008735C0">
        <w:t xml:space="preserve"> a 202</w:t>
      </w:r>
      <w:r w:rsidR="00444E9F">
        <w:t>4</w:t>
      </w:r>
      <w:r w:rsidR="008735C0">
        <w:t>-</w:t>
      </w:r>
      <w:r w:rsidR="00444E9F">
        <w:t>e</w:t>
      </w:r>
      <w:r w:rsidR="00477313">
        <w:t xml:space="preserve">s év </w:t>
      </w:r>
      <w:r w:rsidR="00477313" w:rsidRPr="00B34714">
        <w:rPr>
          <w:b/>
          <w:bCs/>
        </w:rPr>
        <w:t>tavaszi és őszi félévére</w:t>
      </w:r>
      <w:r w:rsidR="00477313">
        <w:t xml:space="preserve"> </w:t>
      </w:r>
      <w:r w:rsidR="00444E9F" w:rsidRPr="00B34714">
        <w:rPr>
          <w:b/>
          <w:bCs/>
        </w:rPr>
        <w:t>egy-egy</w:t>
      </w:r>
      <w:r w:rsidR="00477313">
        <w:t xml:space="preserve"> bizottsági ülést tervezett</w:t>
      </w:r>
      <w:r w:rsidR="00B34714">
        <w:t xml:space="preserve">, melyet kiegészített </w:t>
      </w:r>
      <w:r w:rsidR="00B34714" w:rsidRPr="00B34714">
        <w:rPr>
          <w:b/>
          <w:bCs/>
        </w:rPr>
        <w:t>egy további online</w:t>
      </w:r>
      <w:r w:rsidR="00B34714">
        <w:t xml:space="preserve"> bizottsági ülés és szavazás.</w:t>
      </w:r>
    </w:p>
    <w:p w14:paraId="60CF9D1C" w14:textId="77777777" w:rsidR="00444E9F" w:rsidRDefault="00444E9F" w:rsidP="00444E9F">
      <w:pPr>
        <w:pStyle w:val="Nincstrkz"/>
      </w:pPr>
    </w:p>
    <w:p w14:paraId="3EFB427B" w14:textId="20825D89" w:rsidR="00444E9F" w:rsidRDefault="00444E9F" w:rsidP="00444E9F">
      <w:pPr>
        <w:pStyle w:val="Nincstrkz"/>
      </w:pPr>
      <w:r w:rsidRPr="00444E9F">
        <w:rPr>
          <w:b/>
          <w:bCs/>
        </w:rPr>
        <w:t>A tavaszi ülésre</w:t>
      </w:r>
      <w:r>
        <w:t xml:space="preserve"> </w:t>
      </w:r>
      <w:r w:rsidRPr="00444E9F">
        <w:rPr>
          <w:b/>
          <w:bCs/>
        </w:rPr>
        <w:t>2024.07.01</w:t>
      </w:r>
      <w:r w:rsidRPr="00444E9F">
        <w:t>-</w:t>
      </w:r>
      <w:r>
        <w:t>én</w:t>
      </w:r>
      <w:r w:rsidR="00B34714">
        <w:t xml:space="preserve"> </w:t>
      </w:r>
      <w:r>
        <w:t>került sor.</w:t>
      </w:r>
    </w:p>
    <w:p w14:paraId="25BD9B20" w14:textId="7194EA42" w:rsidR="00444E9F" w:rsidRDefault="00444E9F" w:rsidP="00444E9F">
      <w:pPr>
        <w:pStyle w:val="Nincstrkz"/>
      </w:pPr>
      <w:r>
        <w:t>Napirendi pontok voltak:</w:t>
      </w:r>
    </w:p>
    <w:p w14:paraId="578D59EC" w14:textId="2658813E" w:rsidR="00444E9F" w:rsidRDefault="00444E9F" w:rsidP="00444E9F">
      <w:pPr>
        <w:pStyle w:val="Nincstrkz"/>
        <w:numPr>
          <w:ilvl w:val="0"/>
          <w:numId w:val="5"/>
        </w:numPr>
      </w:pPr>
      <w:r>
        <w:t>Az új Külügyi és Nemzetközi Képzési Bizottság bemutatkozása, feladatok a 2024/25-ös tanévre</w:t>
      </w:r>
    </w:p>
    <w:p w14:paraId="64BF93FD" w14:textId="6A2A41A2" w:rsidR="00444E9F" w:rsidRDefault="00444E9F" w:rsidP="00444E9F">
      <w:pPr>
        <w:pStyle w:val="Nincstrkz"/>
        <w:numPr>
          <w:ilvl w:val="0"/>
          <w:numId w:val="5"/>
        </w:numPr>
      </w:pPr>
      <w:r>
        <w:t>Beszámoló az ELTE Nemzetköziesítési Bizottságának munkájáról</w:t>
      </w:r>
    </w:p>
    <w:p w14:paraId="249D4846" w14:textId="6E4E68E4" w:rsidR="00444E9F" w:rsidRDefault="00444E9F" w:rsidP="00444E9F">
      <w:pPr>
        <w:pStyle w:val="Nincstrkz"/>
        <w:numPr>
          <w:ilvl w:val="0"/>
          <w:numId w:val="5"/>
        </w:numPr>
      </w:pPr>
      <w:r>
        <w:t xml:space="preserve">Idegen- és célnyelvi szakjaink </w:t>
      </w:r>
      <w:r>
        <w:t xml:space="preserve">intézeti </w:t>
      </w:r>
      <w:r>
        <w:t>támogatásának tervezete</w:t>
      </w:r>
      <w:r>
        <w:t>, a tervezet megvitatása, szakmai véleményezése</w:t>
      </w:r>
    </w:p>
    <w:p w14:paraId="2D6E2A04" w14:textId="77777777" w:rsidR="00444E9F" w:rsidRDefault="00444E9F" w:rsidP="006447D4">
      <w:pPr>
        <w:pStyle w:val="Nincstrkz"/>
        <w:jc w:val="both"/>
      </w:pPr>
    </w:p>
    <w:p w14:paraId="3BE19310" w14:textId="04B8A5BD" w:rsidR="006447D4" w:rsidRDefault="00444E9F" w:rsidP="006447D4">
      <w:pPr>
        <w:pStyle w:val="Nincstrkz"/>
        <w:jc w:val="both"/>
      </w:pPr>
      <w:r>
        <w:t xml:space="preserve">A Bizottság </w:t>
      </w:r>
      <w:r w:rsidRPr="00444E9F">
        <w:rPr>
          <w:b/>
          <w:bCs/>
        </w:rPr>
        <w:t>2024.09.27-én</w:t>
      </w:r>
      <w:r>
        <w:t xml:space="preserve"> véleményezte </w:t>
      </w:r>
      <w:r w:rsidRPr="00444E9F">
        <w:t xml:space="preserve">a </w:t>
      </w:r>
      <w:r w:rsidRPr="00B34714">
        <w:rPr>
          <w:b/>
          <w:bCs/>
        </w:rPr>
        <w:t>Kína tanulmányok mesterszak</w:t>
      </w:r>
      <w:r w:rsidRPr="00444E9F">
        <w:t xml:space="preserve"> </w:t>
      </w:r>
      <w:r w:rsidRPr="00B34714">
        <w:rPr>
          <w:b/>
          <w:bCs/>
        </w:rPr>
        <w:t>kínai</w:t>
      </w:r>
      <w:r w:rsidRPr="00444E9F">
        <w:t xml:space="preserve"> és </w:t>
      </w:r>
      <w:r w:rsidRPr="00B34714">
        <w:rPr>
          <w:b/>
          <w:bCs/>
        </w:rPr>
        <w:t>angol nyelvű</w:t>
      </w:r>
      <w:r w:rsidRPr="00444E9F">
        <w:t xml:space="preserve"> indítás</w:t>
      </w:r>
      <w:r>
        <w:t xml:space="preserve">ával kapcsolatban benyújtott dokumentációt, majd </w:t>
      </w:r>
      <w:r w:rsidRPr="00444E9F">
        <w:rPr>
          <w:b/>
          <w:bCs/>
        </w:rPr>
        <w:t>elektronikus szavazás</w:t>
      </w:r>
      <w:r>
        <w:t xml:space="preserve"> útján egyöntetűen támogatta a szakindításokat.</w:t>
      </w:r>
    </w:p>
    <w:p w14:paraId="57D392CB" w14:textId="77777777" w:rsidR="00702E20" w:rsidRDefault="00702E20" w:rsidP="006447D4">
      <w:pPr>
        <w:pStyle w:val="Nincstrkz"/>
        <w:jc w:val="both"/>
      </w:pPr>
    </w:p>
    <w:p w14:paraId="523CDD70" w14:textId="03DC3665" w:rsidR="004459EF" w:rsidRDefault="006447D4" w:rsidP="006447D4">
      <w:pPr>
        <w:pStyle w:val="Nincstrkz"/>
        <w:jc w:val="both"/>
      </w:pPr>
      <w:r>
        <w:t xml:space="preserve">A bizottság </w:t>
      </w:r>
      <w:r w:rsidRPr="00B34714">
        <w:rPr>
          <w:b/>
          <w:bCs/>
        </w:rPr>
        <w:t>őszi félévére</w:t>
      </w:r>
      <w:r>
        <w:t xml:space="preserve"> tervezett </w:t>
      </w:r>
      <w:r w:rsidR="00444E9F">
        <w:t xml:space="preserve">ülése </w:t>
      </w:r>
      <w:r w:rsidR="008735C0" w:rsidRPr="00B34714">
        <w:rPr>
          <w:b/>
          <w:bCs/>
        </w:rPr>
        <w:t>202</w:t>
      </w:r>
      <w:r w:rsidR="00444E9F" w:rsidRPr="00B34714">
        <w:rPr>
          <w:b/>
          <w:bCs/>
        </w:rPr>
        <w:t>4</w:t>
      </w:r>
      <w:r w:rsidR="008735C0" w:rsidRPr="00B34714">
        <w:rPr>
          <w:b/>
          <w:bCs/>
        </w:rPr>
        <w:t>.</w:t>
      </w:r>
      <w:r w:rsidR="004459EF" w:rsidRPr="00B34714">
        <w:rPr>
          <w:b/>
          <w:bCs/>
        </w:rPr>
        <w:t>11.27-én</w:t>
      </w:r>
      <w:r w:rsidR="004459EF">
        <w:t xml:space="preserve"> valósult meg.</w:t>
      </w:r>
    </w:p>
    <w:p w14:paraId="6AB3689C" w14:textId="01631175" w:rsidR="006447D4" w:rsidRDefault="006447D4" w:rsidP="006447D4">
      <w:pPr>
        <w:pStyle w:val="Nincstrkz"/>
        <w:jc w:val="both"/>
      </w:pPr>
      <w:r>
        <w:t>Napirendi pontok</w:t>
      </w:r>
      <w:r w:rsidR="00B34714">
        <w:t xml:space="preserve"> voltak:</w:t>
      </w:r>
    </w:p>
    <w:p w14:paraId="7FC113F7" w14:textId="77777777" w:rsidR="008735C0" w:rsidRDefault="008735C0" w:rsidP="00EE2FA9">
      <w:pPr>
        <w:pStyle w:val="Nincstrkz"/>
        <w:numPr>
          <w:ilvl w:val="0"/>
          <w:numId w:val="3"/>
        </w:numPr>
        <w:jc w:val="both"/>
      </w:pPr>
      <w:r>
        <w:t>Erasmus+ ICM és +20 intézeti/tanszéki partnerségi pályázatok kari rangsora</w:t>
      </w:r>
    </w:p>
    <w:p w14:paraId="01480EC1" w14:textId="79C1A36F" w:rsidR="004459EF" w:rsidRDefault="004459EF" w:rsidP="004459EF">
      <w:pPr>
        <w:pStyle w:val="Nincstrkz"/>
        <w:numPr>
          <w:ilvl w:val="0"/>
          <w:numId w:val="3"/>
        </w:numPr>
        <w:jc w:val="both"/>
      </w:pPr>
      <w:bookmarkStart w:id="0" w:name="_Hlk189919063"/>
      <w:r>
        <w:t>ELTE Nemzetközi Diáktámogató Központ</w:t>
      </w:r>
    </w:p>
    <w:bookmarkEnd w:id="0"/>
    <w:p w14:paraId="2E003717" w14:textId="0767B52D" w:rsidR="004459EF" w:rsidRDefault="004459EF" w:rsidP="004459EF">
      <w:pPr>
        <w:pStyle w:val="Nincstrkz"/>
        <w:numPr>
          <w:ilvl w:val="0"/>
          <w:numId w:val="3"/>
        </w:numPr>
        <w:jc w:val="both"/>
      </w:pPr>
      <w:r>
        <w:t>Stratégiai partnerségek</w:t>
      </w:r>
    </w:p>
    <w:p w14:paraId="65747FA9" w14:textId="77777777" w:rsidR="006447D4" w:rsidRDefault="006447D4" w:rsidP="006447D4">
      <w:pPr>
        <w:pStyle w:val="Nincstrkz"/>
        <w:jc w:val="both"/>
      </w:pPr>
    </w:p>
    <w:p w14:paraId="4152716D" w14:textId="77777777" w:rsidR="00EE2FA9" w:rsidRDefault="00702E20" w:rsidP="006447D4">
      <w:pPr>
        <w:pStyle w:val="Nincstrkz"/>
        <w:jc w:val="both"/>
      </w:pPr>
      <w:r>
        <w:t xml:space="preserve">A Bizottság áttekintette és a kari nemzetköziesítési szempontokat figyelembe véve rangsorolta az </w:t>
      </w:r>
      <w:r w:rsidRPr="00702E20">
        <w:t>Erasmus+ ICM és +20 intézeti/tanszéki partnerségi pályázatok</w:t>
      </w:r>
      <w:r w:rsidR="00EE2FA9">
        <w:t>at.</w:t>
      </w:r>
    </w:p>
    <w:p w14:paraId="481F8299" w14:textId="674AB1F5" w:rsidR="00EE2FA9" w:rsidRDefault="00702E20" w:rsidP="00EE2FA9">
      <w:pPr>
        <w:pStyle w:val="Nincstrkz"/>
        <w:jc w:val="both"/>
      </w:pPr>
      <w:r>
        <w:t>A továbbiakban véleményezte és észrevételekkel látta el az ELTE Nemzetköz</w:t>
      </w:r>
      <w:r w:rsidR="00EE2FA9">
        <w:t>iesítési Bizottság</w:t>
      </w:r>
      <w:r w:rsidR="004459EF">
        <w:t xml:space="preserve"> Integrációs munkacsoportjának munkáját, mely elkészítette az </w:t>
      </w:r>
      <w:r w:rsidR="004459EF" w:rsidRPr="004459EF">
        <w:t>ELTE Nemzetközi Diáktámogató Központ</w:t>
      </w:r>
      <w:r w:rsidR="004459EF">
        <w:t xml:space="preserve"> indításának tervezetét.</w:t>
      </w:r>
    </w:p>
    <w:p w14:paraId="2744BD99" w14:textId="5992EE53" w:rsidR="004459EF" w:rsidRPr="00E64138" w:rsidRDefault="004459EF" w:rsidP="00EE2FA9">
      <w:pPr>
        <w:pStyle w:val="Nincstrkz"/>
        <w:jc w:val="both"/>
      </w:pPr>
      <w:r>
        <w:t>A Bizottság a 2025-ös év kiemelt tématerületeként a Kar számára fontos nemzetközi stratégiai partnerek feltérképezését és megállapítását tűzte ki célul.</w:t>
      </w:r>
    </w:p>
    <w:sectPr w:rsidR="004459EF" w:rsidRPr="00E64138" w:rsidSect="00511D4A">
      <w:headerReference w:type="default" r:id="rId7"/>
      <w:footerReference w:type="default" r:id="rId8"/>
      <w:pgSz w:w="11906" w:h="16838"/>
      <w:pgMar w:top="78" w:right="1417" w:bottom="284" w:left="1417" w:header="277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88FEC" w14:textId="77777777" w:rsidR="00910DB9" w:rsidRDefault="00910DB9" w:rsidP="004F0495">
      <w:pPr>
        <w:spacing w:after="0" w:line="240" w:lineRule="auto"/>
      </w:pPr>
      <w:r>
        <w:separator/>
      </w:r>
    </w:p>
  </w:endnote>
  <w:endnote w:type="continuationSeparator" w:id="0">
    <w:p w14:paraId="08ECA803" w14:textId="77777777" w:rsidR="00910DB9" w:rsidRDefault="00910DB9" w:rsidP="004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ldenbook">
    <w:altName w:val="Georgia"/>
    <w:panose1 w:val="02070502060405060302"/>
    <w:charset w:val="00"/>
    <w:family w:val="roman"/>
    <w:notTrueType/>
    <w:pitch w:val="variable"/>
    <w:sig w:usb0="00000007" w:usb1="00000000" w:usb2="00000000" w:usb3="00000000" w:csb0="00000093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OpenSan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8FE66" w14:textId="77777777" w:rsidR="0064051E" w:rsidRPr="00D16021" w:rsidRDefault="0064051E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Eötvös Loránd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Tudományegyetem</w:t>
    </w: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,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Bölcsészettudományi Kar</w:t>
    </w:r>
  </w:p>
  <w:p w14:paraId="01B46873" w14:textId="77777777" w:rsidR="00450A7C" w:rsidRPr="00D16021" w:rsidRDefault="00450A7C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1088</w:t>
    </w:r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 Budapest, Múzeum krt. 4/A 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>• Telefon: 585</w:t>
    </w:r>
    <w:r w:rsidR="00760D1D">
      <w:rPr>
        <w:rFonts w:ascii="Open Sans" w:eastAsia="OpenSans-Regular" w:hAnsi="Open Sans" w:cs="Open Sans"/>
        <w:color w:val="404040" w:themeColor="text1" w:themeTint="BF"/>
        <w:sz w:val="16"/>
        <w:szCs w:val="16"/>
      </w:rPr>
      <w:t>-5251</w:t>
    </w:r>
  </w:p>
  <w:p w14:paraId="0117ABA5" w14:textId="77777777" w:rsidR="00450A7C" w:rsidRPr="00D16021" w:rsidRDefault="00450A7C" w:rsidP="00450A7C">
    <w:pPr>
      <w:pStyle w:val="llb"/>
      <w:spacing w:line="276" w:lineRule="auto"/>
      <w:jc w:val="center"/>
      <w:rPr>
        <w:rFonts w:ascii="Open Sans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https: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//btk.elte.hu/en • </w:t>
    </w:r>
    <w:r w:rsidR="00B9712F">
      <w:rPr>
        <w:rFonts w:ascii="Open Sans" w:eastAsia="OpenSans-Regular" w:hAnsi="Open Sans" w:cs="Open Sans"/>
        <w:color w:val="404040" w:themeColor="text1" w:themeTint="BF"/>
        <w:sz w:val="16"/>
        <w:szCs w:val="16"/>
      </w:rPr>
      <w:t>nemzdh</w:t>
    </w: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@btk.elte.hu</w:t>
    </w:r>
  </w:p>
  <w:p w14:paraId="04207E56" w14:textId="77777777" w:rsidR="00450A7C" w:rsidRDefault="00450A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71F12" w14:textId="77777777" w:rsidR="00910DB9" w:rsidRDefault="00910DB9" w:rsidP="004F0495">
      <w:pPr>
        <w:spacing w:after="0" w:line="240" w:lineRule="auto"/>
      </w:pPr>
      <w:r>
        <w:separator/>
      </w:r>
    </w:p>
  </w:footnote>
  <w:footnote w:type="continuationSeparator" w:id="0">
    <w:p w14:paraId="23DCDB90" w14:textId="77777777" w:rsidR="00910DB9" w:rsidRDefault="00910DB9" w:rsidP="004F0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1199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5"/>
      <w:gridCol w:w="5954"/>
    </w:tblGrid>
    <w:tr w:rsidR="006D58E1" w14:paraId="4ED68E51" w14:textId="77777777" w:rsidTr="00511D4A">
      <w:trPr>
        <w:trHeight w:val="1413"/>
      </w:trPr>
      <w:tc>
        <w:tcPr>
          <w:tcW w:w="5245" w:type="dxa"/>
        </w:tcPr>
        <w:p w14:paraId="0AB13132" w14:textId="77777777" w:rsidR="006D58E1" w:rsidRDefault="006D58E1" w:rsidP="006D58E1">
          <w:pPr>
            <w:pStyle w:val="lfej"/>
            <w:ind w:left="-1113"/>
          </w:pPr>
          <w:r w:rsidRPr="006D58E1">
            <w:rPr>
              <w:noProof/>
              <w:lang w:eastAsia="hu-HU"/>
            </w:rPr>
            <w:drawing>
              <wp:anchor distT="0" distB="0" distL="114300" distR="114300" simplePos="0" relativeHeight="251659264" behindDoc="0" locked="0" layoutInCell="1" allowOverlap="1" wp14:anchorId="627D333F" wp14:editId="7823DF5C">
                <wp:simplePos x="0" y="0"/>
                <wp:positionH relativeFrom="column">
                  <wp:posOffset>-238760</wp:posOffset>
                </wp:positionH>
                <wp:positionV relativeFrom="paragraph">
                  <wp:posOffset>5080</wp:posOffset>
                </wp:positionV>
                <wp:extent cx="3512820" cy="990600"/>
                <wp:effectExtent l="0" t="0" r="0" b="0"/>
                <wp:wrapNone/>
                <wp:docPr id="3" name="Kép 3" descr="C:\Users\gaaltekla\Desktop\Névtel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altekla\Desktop\Névtel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282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</w:tcPr>
        <w:p w14:paraId="4AB8F0EE" w14:textId="77777777"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14:paraId="33FFB9E9" w14:textId="77777777"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14:paraId="748BF9EE" w14:textId="77777777"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NEMZETKÖZI ÜGYEK DÉKÁNHELYETTESE</w:t>
          </w:r>
        </w:p>
        <w:p w14:paraId="39001AF2" w14:textId="77777777" w:rsidR="00511D4A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Eötvös Loránd Tudományegyetem, Bölcsészettudományi Kar</w:t>
          </w:r>
        </w:p>
        <w:p w14:paraId="54167694" w14:textId="77777777"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0"/>
              <w:szCs w:val="10"/>
            </w:rPr>
          </w:pPr>
        </w:p>
        <w:p w14:paraId="7CCFDC3C" w14:textId="77777777" w:rsidR="00BE4C1D" w:rsidRPr="00B9712F" w:rsidRDefault="00BE4C1D" w:rsidP="00511D4A">
          <w:pPr>
            <w:rPr>
              <w:rFonts w:ascii="Goldenbook" w:hAnsi="Goldenbook"/>
              <w:b/>
              <w:color w:val="595959" w:themeColor="text1" w:themeTint="A6"/>
              <w:sz w:val="10"/>
              <w:szCs w:val="10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VICE-DEAN FOR INTERNATIONAL AFFAIRS</w:t>
          </w:r>
        </w:p>
        <w:p w14:paraId="4D40ED25" w14:textId="77777777" w:rsidR="006D58E1" w:rsidRPr="00511D4A" w:rsidRDefault="00511D4A" w:rsidP="00511D4A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Eötvös Loránd University, Faculty of Humanities</w:t>
          </w:r>
        </w:p>
      </w:tc>
    </w:tr>
  </w:tbl>
  <w:p w14:paraId="181E8628" w14:textId="77777777" w:rsidR="004F0495" w:rsidRDefault="004F0495" w:rsidP="00E41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68C0"/>
    <w:multiLevelType w:val="hybridMultilevel"/>
    <w:tmpl w:val="51AED06C"/>
    <w:lvl w:ilvl="0" w:tplc="483ECF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05182"/>
    <w:multiLevelType w:val="hybridMultilevel"/>
    <w:tmpl w:val="696A8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17B53"/>
    <w:multiLevelType w:val="hybridMultilevel"/>
    <w:tmpl w:val="F0966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E02D4"/>
    <w:multiLevelType w:val="hybridMultilevel"/>
    <w:tmpl w:val="668A2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B2AC1"/>
    <w:multiLevelType w:val="hybridMultilevel"/>
    <w:tmpl w:val="B1A8E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467737">
    <w:abstractNumId w:val="1"/>
  </w:num>
  <w:num w:numId="2" w16cid:durableId="1225214408">
    <w:abstractNumId w:val="4"/>
  </w:num>
  <w:num w:numId="3" w16cid:durableId="1976834967">
    <w:abstractNumId w:val="2"/>
  </w:num>
  <w:num w:numId="4" w16cid:durableId="886599908">
    <w:abstractNumId w:val="0"/>
  </w:num>
  <w:num w:numId="5" w16cid:durableId="190727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95"/>
    <w:rsid w:val="00022A83"/>
    <w:rsid w:val="0004788A"/>
    <w:rsid w:val="000C2DDB"/>
    <w:rsid w:val="00145B42"/>
    <w:rsid w:val="002E3521"/>
    <w:rsid w:val="0035705B"/>
    <w:rsid w:val="00365E59"/>
    <w:rsid w:val="003A44F6"/>
    <w:rsid w:val="00427FD2"/>
    <w:rsid w:val="00444E9F"/>
    <w:rsid w:val="004459EF"/>
    <w:rsid w:val="00450A7C"/>
    <w:rsid w:val="00477313"/>
    <w:rsid w:val="004E575E"/>
    <w:rsid w:val="004F0495"/>
    <w:rsid w:val="00511D4A"/>
    <w:rsid w:val="0064051E"/>
    <w:rsid w:val="006447D4"/>
    <w:rsid w:val="006A2A93"/>
    <w:rsid w:val="006D58E1"/>
    <w:rsid w:val="00702E20"/>
    <w:rsid w:val="00760D1D"/>
    <w:rsid w:val="008735C0"/>
    <w:rsid w:val="008A3E5A"/>
    <w:rsid w:val="00910DB9"/>
    <w:rsid w:val="009D144B"/>
    <w:rsid w:val="00A568F9"/>
    <w:rsid w:val="00B10306"/>
    <w:rsid w:val="00B34714"/>
    <w:rsid w:val="00B9712F"/>
    <w:rsid w:val="00BE4C1D"/>
    <w:rsid w:val="00C93015"/>
    <w:rsid w:val="00CB3EF0"/>
    <w:rsid w:val="00CF209B"/>
    <w:rsid w:val="00D141A4"/>
    <w:rsid w:val="00D141C4"/>
    <w:rsid w:val="00D16021"/>
    <w:rsid w:val="00D90369"/>
    <w:rsid w:val="00D90D83"/>
    <w:rsid w:val="00DC00AA"/>
    <w:rsid w:val="00E272AD"/>
    <w:rsid w:val="00E41569"/>
    <w:rsid w:val="00E64138"/>
    <w:rsid w:val="00E673D8"/>
    <w:rsid w:val="00EA1ED9"/>
    <w:rsid w:val="00EE2FA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FD204"/>
  <w15:chartTrackingRefBased/>
  <w15:docId w15:val="{1427F199-D27C-431F-AC9D-FD40635F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4C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0495"/>
  </w:style>
  <w:style w:type="paragraph" w:styleId="llb">
    <w:name w:val="footer"/>
    <w:basedOn w:val="Norml"/>
    <w:link w:val="llb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0495"/>
  </w:style>
  <w:style w:type="table" w:styleId="Rcsostblzat">
    <w:name w:val="Table Grid"/>
    <w:basedOn w:val="Normltblzat"/>
    <w:uiPriority w:val="39"/>
    <w:rsid w:val="004F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45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Gaál Tekla</dc:creator>
  <cp:keywords/>
  <dc:description/>
  <cp:lastModifiedBy>Gaál Tekla</cp:lastModifiedBy>
  <cp:revision>9</cp:revision>
  <cp:lastPrinted>2022-01-04T17:02:00Z</cp:lastPrinted>
  <dcterms:created xsi:type="dcterms:W3CDTF">2024-02-20T13:57:00Z</dcterms:created>
  <dcterms:modified xsi:type="dcterms:W3CDTF">2025-02-08T14:01:00Z</dcterms:modified>
</cp:coreProperties>
</file>